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C0FB3" w:rsidRDefault="00000000">
      <w:pPr>
        <w:pStyle w:val="Heading1"/>
      </w:pPr>
      <w:bookmarkStart w:id="0" w:name="Xdc0ccff3467eb93cdcb1941af1d84bd9d6dd0c4"/>
      <w:r>
        <w:t xml:space="preserve">Quantifying Multi-Signal Quorum Sensing: The </w:t>
      </w:r>
      <w:r>
        <w:rPr>
          <w:i/>
          <w:iCs/>
        </w:rPr>
        <w:t>las</w:t>
      </w:r>
      <w:r>
        <w:t xml:space="preserve"> and </w:t>
      </w:r>
      <w:r>
        <w:rPr>
          <w:i/>
          <w:iCs/>
        </w:rPr>
        <w:t>rhl</w:t>
      </w:r>
      <w:r>
        <w:t xml:space="preserve"> Systems in </w:t>
      </w:r>
      <w:r>
        <w:rPr>
          <w:i/>
          <w:iCs/>
        </w:rPr>
        <w:t>Pseudomonas aeruginosa</w:t>
      </w:r>
      <w:r>
        <w:t xml:space="preserve"> Form a Biased Reciprocal Network That Can Tune Responses to Physical and Social Environments</w:t>
      </w:r>
    </w:p>
    <w:p w:rsidR="00DC0FB3"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DC0FB3" w:rsidRDefault="00000000">
      <w:pPr>
        <w:pStyle w:val="Compact"/>
        <w:numPr>
          <w:ilvl w:val="0"/>
          <w:numId w:val="3"/>
        </w:numPr>
      </w:pPr>
      <w:r>
        <w:t>School of Biological Sciences, Georgia Institute of Technology, Atlanta, GA USA 30332.</w:t>
      </w:r>
    </w:p>
    <w:p w:rsidR="00DC0FB3" w:rsidRDefault="00000000">
      <w:pPr>
        <w:pStyle w:val="Compact"/>
        <w:numPr>
          <w:ilvl w:val="0"/>
          <w:numId w:val="3"/>
        </w:numPr>
      </w:pPr>
      <w:r>
        <w:t>Department of Microbiology, Faculty of Agriculture, Cairo University, Giza 12613, Egypt.</w:t>
      </w:r>
    </w:p>
    <w:p w:rsidR="00DC0FB3" w:rsidRDefault="00000000">
      <w:pPr>
        <w:pStyle w:val="Compact"/>
        <w:numPr>
          <w:ilvl w:val="0"/>
          <w:numId w:val="3"/>
        </w:numPr>
      </w:pPr>
      <w:r>
        <w:t>Department of Biology, College of Arts and Sciences, Georgia State University, Atlanta, GA USA 30303.</w:t>
      </w:r>
    </w:p>
    <w:p w:rsidR="00DC0FB3" w:rsidRDefault="00000000">
      <w:pPr>
        <w:pStyle w:val="Compact"/>
        <w:numPr>
          <w:ilvl w:val="0"/>
          <w:numId w:val="3"/>
        </w:numPr>
      </w:pPr>
      <w:r>
        <w:t>Present address: Sandia National Laboratories, Albuquerque, NM, USA.</w:t>
      </w:r>
    </w:p>
    <w:p w:rsidR="00DC0FB3"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DC0FB3" w:rsidRDefault="00000000">
      <w:pPr>
        <w:pStyle w:val="Heading2"/>
      </w:pPr>
      <w:bookmarkStart w:id="1" w:name="introduction"/>
      <w:r>
        <w:t>Introduction</w:t>
      </w:r>
    </w:p>
    <w:p w:rsidR="00DC0FB3" w:rsidRDefault="00000000">
      <w:pPr>
        <w:pStyle w:val="FirstParagraph"/>
      </w:pPr>
      <w:r>
        <w:t xml:space="preserve">WIthin many bacterial species, cells communicate with each other by exchanging diffusible signal molecules (Papenfort and Bassler 2016; Whiteley, Diggle, and Greenberg 2017).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w:t>
      </w:r>
      <w:r>
        <w:lastRenderedPageBreak/>
        <w:t>Tucker, and Passador 2002), and we have recognized that many species possess multiple QS circuits (Papenfort and Bassler 2016).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DC0FB3" w:rsidRDefault="00000000">
      <w:pPr>
        <w:pStyle w:val="BodyText"/>
      </w:pPr>
      <w:r>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DC0FB3"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DC0FB3" w:rsidRDefault="00000000">
      <w:pPr>
        <w:pStyle w:val="CaptionedFigure"/>
      </w:pPr>
      <w:bookmarkStart w:id="2" w:name="fig:architectures"/>
      <w:r>
        <w:rPr>
          <w:noProof/>
        </w:rPr>
        <w:lastRenderedPageBreak/>
        <w:drawing>
          <wp:inline distT="0" distB="0" distL="0" distR="0">
            <wp:extent cx="5238750" cy="4286250"/>
            <wp:effectExtent l="0" t="0" r="0" b="0"/>
            <wp:docPr id="21" name="Picture" descr="Figure 1: 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4286250"/>
                    </a:xfrm>
                    <a:prstGeom prst="rect">
                      <a:avLst/>
                    </a:prstGeom>
                    <a:noFill/>
                    <a:ln w="9525">
                      <a:noFill/>
                      <a:headEnd/>
                      <a:tailEnd/>
                    </a:ln>
                  </pic:spPr>
                </pic:pic>
              </a:graphicData>
            </a:graphic>
          </wp:inline>
        </w:drawing>
      </w:r>
    </w:p>
    <w:bookmarkEnd w:id="2"/>
    <w:p w:rsidR="00DC0FB3"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DC0FB3"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DC0FB3" w:rsidRDefault="00000000">
      <w:pPr>
        <w:pStyle w:val="CaptionedFigure"/>
      </w:pPr>
      <w:bookmarkStart w:id="3" w:name="fig:hierarchy"/>
      <w:r>
        <w:rPr>
          <w:noProof/>
        </w:rPr>
        <w:lastRenderedPageBreak/>
        <w:drawing>
          <wp:inline distT="0" distB="0" distL="0" distR="0">
            <wp:extent cx="5238750" cy="4286250"/>
            <wp:effectExtent l="0" t="0" r="0" b="0"/>
            <wp:docPr id="26" name="Picture" descr="Figure 2: hierarchy"/>
            <wp:cNvGraphicFramePr/>
            <a:graphic xmlns:a="http://schemas.openxmlformats.org/drawingml/2006/main">
              <a:graphicData uri="http://schemas.openxmlformats.org/drawingml/2006/picture">
                <pic:pic xmlns:pic="http://schemas.openxmlformats.org/drawingml/2006/picture">
                  <pic:nvPicPr>
                    <pic:cNvPr id="27" name="Picture" descr="Figures/hierarchy.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bookmarkEnd w:id="3"/>
    <w:p w:rsidR="00DC0FB3"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DC0FB3"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hiearchy, the reciprocity we observe provides more sensitivity to population density and more robustness to interfering physical environmental variation.</w:t>
      </w:r>
    </w:p>
    <w:p w:rsidR="00DC0FB3" w:rsidRDefault="00000000">
      <w:pPr>
        <w:pStyle w:val="Heading2"/>
      </w:pPr>
      <w:bookmarkStart w:id="4" w:name="results"/>
      <w:bookmarkEnd w:id="1"/>
      <w:r>
        <w:t>Results</w:t>
      </w:r>
    </w:p>
    <w:p w:rsidR="00DC0FB3"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xml:space="preserve">) exposed to defined, exogenous </w:t>
      </w:r>
      <w:r>
        <w:lastRenderedPageBreak/>
        <w:t>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DC0FB3" w:rsidRDefault="00000000">
      <w:pPr>
        <w:pStyle w:val="Heading3"/>
      </w:pPr>
      <w:bookmarkStart w:id="5" w:name="X07d8eef75b20be03a4367928cbb9124014b7bcf"/>
      <w:r>
        <w:t xml:space="preserve">The </w:t>
      </w:r>
      <w:r>
        <w:rPr>
          <w:i/>
          <w:iCs/>
        </w:rPr>
        <w:t>las</w:t>
      </w:r>
      <w:r>
        <w:t xml:space="preserve"> and </w:t>
      </w:r>
      <w:r>
        <w:rPr>
          <w:i/>
          <w:iCs/>
        </w:rPr>
        <w:t>rhl</w:t>
      </w:r>
      <w:r>
        <w:t xml:space="preserve"> Systems Influence Each Other</w:t>
      </w:r>
    </w:p>
    <w:p w:rsidR="00DC0FB3"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DC0FB3" w:rsidRDefault="00000000">
      <w:pPr>
        <w:pStyle w:val="CaptionedFigure"/>
      </w:pPr>
      <w:bookmarkStart w:id="6" w:name="fig:single_c12"/>
      <w:r>
        <w:rPr>
          <w:noProof/>
        </w:rPr>
        <w:drawing>
          <wp:inline distT="0" distB="0" distL="0" distR="0">
            <wp:extent cx="5657850" cy="2571750"/>
            <wp:effectExtent l="0" t="0" r="0" b="0"/>
            <wp:docPr id="32" name="Picture" descr="Figure 3: single_c12"/>
            <wp:cNvGraphicFramePr/>
            <a:graphic xmlns:a="http://schemas.openxmlformats.org/drawingml/2006/main">
              <a:graphicData uri="http://schemas.openxmlformats.org/drawingml/2006/picture">
                <pic:pic xmlns:pic="http://schemas.openxmlformats.org/drawingml/2006/picture">
                  <pic:nvPicPr>
                    <pic:cNvPr id="33" name="Picture" descr="Figures/single_c12.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6"/>
    <w:p w:rsidR="00DC0FB3"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DC0FB3"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DC0FB3" w:rsidRDefault="00000000">
      <w:pPr>
        <w:pStyle w:val="CaptionedFigure"/>
      </w:pPr>
      <w:bookmarkStart w:id="7" w:name="fig:single_c4"/>
      <w:r>
        <w:rPr>
          <w:noProof/>
        </w:rPr>
        <w:lastRenderedPageBreak/>
        <w:drawing>
          <wp:inline distT="0" distB="0" distL="0" distR="0">
            <wp:extent cx="5657850" cy="2571750"/>
            <wp:effectExtent l="0" t="0" r="0" b="0"/>
            <wp:docPr id="37" name="Picture" descr="Figure 4: single_c4"/>
            <wp:cNvGraphicFramePr/>
            <a:graphic xmlns:a="http://schemas.openxmlformats.org/drawingml/2006/main">
              <a:graphicData uri="http://schemas.openxmlformats.org/drawingml/2006/picture">
                <pic:pic xmlns:pic="http://schemas.openxmlformats.org/drawingml/2006/picture">
                  <pic:nvPicPr>
                    <pic:cNvPr id="38" name="Picture" descr="Figures/single_c4.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7"/>
    <w:p w:rsidR="00DC0FB3"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 As above, Figures S.1 and S.2 show the underlying expression data for the entire time course of the experiments.</w:t>
      </w:r>
    </w:p>
    <w:p w:rsidR="00DC0FB3"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DC0FB3"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DC0FB3" w:rsidRDefault="00EF2F4A">
      <w:pPr>
        <w:pStyle w:val="FirstParagraph"/>
      </w:pPr>
      <w:r>
        <w:rPr>
          <w:noProof/>
        </w:rPr>
        <w:drawing>
          <wp:inline distT="0" distB="0" distL="0" distR="0">
            <wp:extent cx="5486400" cy="2016807"/>
            <wp:effectExtent l="0" t="0" r="0" b="0"/>
            <wp:docPr id="21059016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1657" name="Graphic 2105901657"/>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2016807"/>
                    </a:xfrm>
                    <a:prstGeom prst="rect">
                      <a:avLst/>
                    </a:prstGeom>
                  </pic:spPr>
                </pic:pic>
              </a:graphicData>
            </a:graphic>
          </wp:inline>
        </w:drawing>
      </w:r>
    </w:p>
    <w:p w:rsidR="00DC0FB3" w:rsidRDefault="00000000">
      <w:pPr>
        <w:pStyle w:val="BodyText"/>
      </w:pPr>
      <w:r>
        <w:lastRenderedPageBreak/>
        <w:t xml:space="preserve">By minimizing the sum of squared error (with non-linear regression using the Gauss-Newton algorithm), we estimate model parameters from our data, using only those observations in which a single signal is present. TableS.3 details the results.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DC0FB3" w:rsidRDefault="00000000">
      <w:pPr>
        <w:pStyle w:val="Heading3"/>
      </w:pPr>
      <w:bookmarkStart w:id="8" w:name="Xf2b78a5975f7435e62f97939c4950da88a58c5c"/>
      <w:bookmarkEnd w:id="5"/>
      <w:r>
        <w:rPr>
          <w:i/>
          <w:iCs/>
        </w:rPr>
        <w:t>las</w:t>
      </w:r>
      <w:r>
        <w:t xml:space="preserve"> and </w:t>
      </w:r>
      <w:r>
        <w:rPr>
          <w:i/>
          <w:iCs/>
        </w:rPr>
        <w:t>rhl</w:t>
      </w:r>
      <w:r>
        <w:t xml:space="preserve"> Combine Non-Linearly and Synergistically</w:t>
      </w:r>
    </w:p>
    <w:p w:rsidR="00DC0FB3"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DC0FB3" w:rsidRDefault="00000000">
      <w:pPr>
        <w:pStyle w:val="CaptionedFigure"/>
      </w:pPr>
      <w:bookmarkStart w:id="9" w:name="fig:combined"/>
      <w:r>
        <w:rPr>
          <w:noProof/>
        </w:rPr>
        <w:drawing>
          <wp:inline distT="0" distB="0" distL="0" distR="0">
            <wp:extent cx="5657850" cy="2571750"/>
            <wp:effectExtent l="0" t="0" r="0" b="0"/>
            <wp:docPr id="44" name="Picture" descr="Figure 5: combined"/>
            <wp:cNvGraphicFramePr/>
            <a:graphic xmlns:a="http://schemas.openxmlformats.org/drawingml/2006/main">
              <a:graphicData uri="http://schemas.openxmlformats.org/drawingml/2006/picture">
                <pic:pic xmlns:pic="http://schemas.openxmlformats.org/drawingml/2006/picture">
                  <pic:nvPicPr>
                    <pic:cNvPr id="45" name="Picture" descr="Figures/combined.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9"/>
    <w:p w:rsidR="00DC0FB3"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DC0FB3"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 xml:space="preserve">‑HSL. Figure 6 clearly shows that we cannot. The maximum expression observed, shown as a “ceiling” in that figure’s panels, </w:t>
      </w:r>
      <w:r>
        <w:lastRenderedPageBreak/>
        <w:t>far exceeds the sum of the signals’ individual influence. The presence of both signals boosts expression by as much as 30-fold beyond the level of what a simple sum would predict.</w:t>
      </w:r>
    </w:p>
    <w:p w:rsidR="00DC0FB3" w:rsidRDefault="00000000">
      <w:pPr>
        <w:pStyle w:val="CaptionedFigure"/>
      </w:pPr>
      <w:bookmarkStart w:id="10" w:name="fig:single_all"/>
      <w:r>
        <w:rPr>
          <w:noProof/>
        </w:rPr>
        <w:drawing>
          <wp:inline distT="0" distB="0" distL="0" distR="0">
            <wp:extent cx="5715000" cy="2190750"/>
            <wp:effectExtent l="0" t="0" r="0" b="0"/>
            <wp:docPr id="49" name="Picture" descr="Figure 6: single_all"/>
            <wp:cNvGraphicFramePr/>
            <a:graphic xmlns:a="http://schemas.openxmlformats.org/drawingml/2006/main">
              <a:graphicData uri="http://schemas.openxmlformats.org/drawingml/2006/picture">
                <pic:pic xmlns:pic="http://schemas.openxmlformats.org/drawingml/2006/picture">
                  <pic:nvPicPr>
                    <pic:cNvPr id="50" name="Picture" descr="Figures/single_all.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2190750"/>
                    </a:xfrm>
                    <a:prstGeom prst="rect">
                      <a:avLst/>
                    </a:prstGeom>
                    <a:noFill/>
                    <a:ln w="9525">
                      <a:noFill/>
                      <a:headEnd/>
                      <a:tailEnd/>
                    </a:ln>
                  </pic:spPr>
                </pic:pic>
              </a:graphicData>
            </a:graphic>
          </wp:inline>
        </w:drawing>
      </w:r>
    </w:p>
    <w:bookmarkEnd w:id="10"/>
    <w:p w:rsidR="00DC0FB3"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S.3).</w:t>
      </w:r>
    </w:p>
    <w:p w:rsidR="00DC0FB3"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DC0FB3" w:rsidRDefault="00EF2F4A">
      <w:pPr>
        <w:pStyle w:val="FirstParagraph"/>
      </w:pPr>
      <w:r>
        <w:rPr>
          <w:noProof/>
        </w:rPr>
        <w:lastRenderedPageBreak/>
        <w:drawing>
          <wp:inline distT="0" distB="0" distL="0" distR="0">
            <wp:extent cx="5486400" cy="2938536"/>
            <wp:effectExtent l="0" t="0" r="0" b="0"/>
            <wp:docPr id="193736174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1745" name="Graphic 1937361745"/>
                    <pic:cNvPicPr/>
                  </pic:nvPicPr>
                  <pic:blipFill>
                    <a:blip r:embed="rId19">
                      <a:extLst>
                        <a:ext uri="{96DAC541-7B7A-43D3-8B79-37D633B846F1}">
                          <asvg:svgBlip xmlns:asvg="http://schemas.microsoft.com/office/drawing/2016/SVG/main" r:embed="rId20"/>
                        </a:ext>
                      </a:extLst>
                    </a:blip>
                    <a:stretch>
                      <a:fillRect/>
                    </a:stretch>
                  </pic:blipFill>
                  <pic:spPr>
                    <a:xfrm>
                      <a:off x="0" y="0"/>
                      <a:ext cx="5486400" cy="2938536"/>
                    </a:xfrm>
                    <a:prstGeom prst="rect">
                      <a:avLst/>
                    </a:prstGeom>
                  </pic:spPr>
                </pic:pic>
              </a:graphicData>
            </a:graphic>
          </wp:inline>
        </w:drawing>
      </w:r>
    </w:p>
    <w:p w:rsidR="00DC0FB3"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S.4 have R</w:t>
      </w:r>
      <w:r>
        <w:rPr>
          <w:vertAlign w:val="superscript"/>
        </w:rPr>
        <w:t>2</w:t>
      </w:r>
      <w:r>
        <w:t xml:space="preserve"> values of 0.82 and 0.77. Figure 7 compares the model estimates with observations. For both genes, the model captures the effect of either signal in isolation and both signals in combination.</w:t>
      </w:r>
    </w:p>
    <w:p w:rsidR="00DC0FB3" w:rsidRDefault="00000000">
      <w:pPr>
        <w:pStyle w:val="CaptionedFigure"/>
      </w:pPr>
      <w:bookmarkStart w:id="11" w:name="fig:multiple"/>
      <w:r>
        <w:rPr>
          <w:noProof/>
        </w:rPr>
        <w:drawing>
          <wp:inline distT="0" distB="0" distL="0" distR="0">
            <wp:extent cx="5334000" cy="2190750"/>
            <wp:effectExtent l="0" t="0" r="0" b="0"/>
            <wp:docPr id="55" name="Picture" descr="Figure 7: multiple"/>
            <wp:cNvGraphicFramePr/>
            <a:graphic xmlns:a="http://schemas.openxmlformats.org/drawingml/2006/main">
              <a:graphicData uri="http://schemas.openxmlformats.org/drawingml/2006/picture">
                <pic:pic xmlns:pic="http://schemas.openxmlformats.org/drawingml/2006/picture">
                  <pic:nvPicPr>
                    <pic:cNvPr id="56" name="Picture" descr="Figures/multiple.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2190750"/>
                    </a:xfrm>
                    <a:prstGeom prst="rect">
                      <a:avLst/>
                    </a:prstGeom>
                    <a:noFill/>
                    <a:ln w="9525">
                      <a:noFill/>
                      <a:headEnd/>
                      <a:tailEnd/>
                    </a:ln>
                  </pic:spPr>
                </pic:pic>
              </a:graphicData>
            </a:graphic>
          </wp:inline>
        </w:drawing>
      </w:r>
    </w:p>
    <w:bookmarkEnd w:id="11"/>
    <w:p w:rsidR="00DC0FB3"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w:t>
      </w:r>
    </w:p>
    <w:p w:rsidR="00DC0FB3"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w:t>
      </w:r>
      <w:r>
        <w:lastRenderedPageBreak/>
        <w:t xml:space="preserve">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DC0FB3" w:rsidRDefault="00000000">
      <w:pPr>
        <w:pStyle w:val="CaptionedFigure"/>
      </w:pPr>
      <w:bookmarkStart w:id="12" w:name="fig:reciprocal"/>
      <w:r>
        <w:rPr>
          <w:noProof/>
        </w:rPr>
        <w:drawing>
          <wp:inline distT="0" distB="0" distL="0" distR="0">
            <wp:extent cx="4486275" cy="2676525"/>
            <wp:effectExtent l="0" t="0" r="0" b="0"/>
            <wp:docPr id="60" name="Picture" descr="Figure 8: reciprocal"/>
            <wp:cNvGraphicFramePr/>
            <a:graphic xmlns:a="http://schemas.openxmlformats.org/drawingml/2006/main">
              <a:graphicData uri="http://schemas.openxmlformats.org/drawingml/2006/picture">
                <pic:pic xmlns:pic="http://schemas.openxmlformats.org/drawingml/2006/picture">
                  <pic:nvPicPr>
                    <pic:cNvPr id="61" name="Picture" descr="Figures/reciprocal.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4486275" cy="2676525"/>
                    </a:xfrm>
                    <a:prstGeom prst="rect">
                      <a:avLst/>
                    </a:prstGeom>
                    <a:noFill/>
                    <a:ln w="9525">
                      <a:noFill/>
                      <a:headEnd/>
                      <a:tailEnd/>
                    </a:ln>
                  </pic:spPr>
                </pic:pic>
              </a:graphicData>
            </a:graphic>
          </wp:inline>
        </w:drawing>
      </w:r>
    </w:p>
    <w:bookmarkEnd w:id="12"/>
    <w:p w:rsidR="00DC0FB3"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DC0FB3" w:rsidRDefault="00000000">
      <w:pPr>
        <w:pStyle w:val="Heading3"/>
      </w:pPr>
      <w:bookmarkStart w:id="13" w:name="Xd145c737aae79dd4dc1f416a77ecbba85a1c40d"/>
      <w:bookmarkEnd w:id="8"/>
      <w:r>
        <w:rPr>
          <w:i/>
          <w:iCs/>
        </w:rPr>
        <w:t>las</w:t>
      </w:r>
      <w:r>
        <w:t xml:space="preserve"> and </w:t>
      </w:r>
      <w:r>
        <w:rPr>
          <w:i/>
          <w:iCs/>
        </w:rPr>
        <w:t>rhl</w:t>
      </w:r>
      <w:r>
        <w:t xml:space="preserve"> Synergy Also Shapes Control of Quorum Sensing Effector Genes</w:t>
      </w:r>
    </w:p>
    <w:p w:rsidR="00DC0FB3" w:rsidRDefault="00000000">
      <w:pPr>
        <w:pStyle w:val="FirstParagraph"/>
      </w:pPr>
      <w:r>
        <w:t xml:space="preserve">Our results, summarized in Figure 8, establish that both AHL signals influence the expression levels of both synthase genes in a synergistic manner. We note that the methods outlined in Figures 3–8 for the </w:t>
      </w:r>
      <w:r>
        <w:rPr>
          <w:i/>
          <w:iCs/>
        </w:rPr>
        <w:t>lasI</w:t>
      </w:r>
      <w:r>
        <w:t xml:space="preserve"> and </w:t>
      </w:r>
      <w:r>
        <w:rPr>
          <w:i/>
          <w:iCs/>
        </w:rPr>
        <w:t>rhlI</w:t>
      </w:r>
      <w:r>
        <w:t xml:space="preserve"> synthase genes can be applied to any QS-controlled gene of interest and can quantify dual signal control over expression levels. Here we look at </w:t>
      </w:r>
      <w:r>
        <w:rPr>
          <w:i/>
          <w:iCs/>
        </w:rPr>
        <w:t>lasB,</w:t>
      </w:r>
      <w:r>
        <w:t xml:space="preserve"> a classic QS effector gene that codes for the secreted digestive enzyme LasB and a widely used as a model of QS-mediated virulence (Casilag et al. 2016; Cigana et al. 2021) and cooperation (Diggle et al. 2007; Allen et al. 2016; Sexton and Schuster 2017).</w:t>
      </w:r>
    </w:p>
    <w:p w:rsidR="00DC0FB3" w:rsidRDefault="00000000">
      <w:pPr>
        <w:pStyle w:val="BodyText"/>
      </w:pPr>
      <w:r>
        <w:t xml:space="preserve">The prior literature provides a clear expectation that </w:t>
      </w:r>
      <w:r>
        <w:rPr>
          <w:i/>
          <w:iCs/>
        </w:rPr>
        <w:t>lasB</w:t>
      </w:r>
      <w:r>
        <w:t xml:space="preserve"> expression will be positively influenced by both AHL signal molecules. (Pearson, Pesci, and Iglewski 1997; Nouwens et al. 2003),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9A). Fitting Equation 2 to the data highlights that </w:t>
      </w:r>
      <w:r>
        <w:rPr>
          <w:i/>
          <w:iCs/>
        </w:rPr>
        <w:t>lasB</w:t>
      </w:r>
      <w:r>
        <w:t xml:space="preserve"> expression is dominated by the synergistic combination of both signals rather than either signal in isolation (Figure 9B). Notably, </w:t>
      </w:r>
      <w:r>
        <w:rPr>
          <w:i/>
          <w:iCs/>
        </w:rPr>
        <w:t>lasB</w:t>
      </w:r>
      <w:r>
        <w:t xml:space="preserve"> expression is more senstive to C</w:t>
      </w:r>
      <w:r>
        <w:rPr>
          <w:vertAlign w:val="subscript"/>
        </w:rPr>
        <w:t>4</w:t>
      </w:r>
      <w:r>
        <w:t>‑HSL than to 3‑oxo‑C</w:t>
      </w:r>
      <w:r>
        <w:rPr>
          <w:vertAlign w:val="subscript"/>
        </w:rPr>
        <w:t>12</w:t>
      </w:r>
      <w:r>
        <w:t>‑HSL. (Figure 9C).</w:t>
      </w:r>
    </w:p>
    <w:p w:rsidR="00DC0FB3" w:rsidRDefault="00000000">
      <w:pPr>
        <w:pStyle w:val="CaptionedFigure"/>
      </w:pPr>
      <w:bookmarkStart w:id="14" w:name="fig:lasb_expression"/>
      <w:r>
        <w:rPr>
          <w:noProof/>
        </w:rPr>
        <w:lastRenderedPageBreak/>
        <w:drawing>
          <wp:inline distT="0" distB="0" distL="0" distR="0">
            <wp:extent cx="5705475" cy="3962400"/>
            <wp:effectExtent l="0" t="0" r="0" b="0"/>
            <wp:docPr id="66" name="Picture" descr="Figure 9: lasb_expression"/>
            <wp:cNvGraphicFramePr/>
            <a:graphic xmlns:a="http://schemas.openxmlformats.org/drawingml/2006/main">
              <a:graphicData uri="http://schemas.openxmlformats.org/drawingml/2006/picture">
                <pic:pic xmlns:pic="http://schemas.openxmlformats.org/drawingml/2006/picture">
                  <pic:nvPicPr>
                    <pic:cNvPr id="67" name="Picture" descr="Figures/lasb_expression.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05475" cy="3962400"/>
                    </a:xfrm>
                    <a:prstGeom prst="rect">
                      <a:avLst/>
                    </a:prstGeom>
                    <a:noFill/>
                    <a:ln w="9525">
                      <a:noFill/>
                      <a:headEnd/>
                      <a:tailEnd/>
                    </a:ln>
                  </pic:spPr>
                </pic:pic>
              </a:graphicData>
            </a:graphic>
          </wp:inline>
        </w:drawing>
      </w:r>
    </w:p>
    <w:bookmarkEnd w:id="14"/>
    <w:p w:rsidR="00DC0FB3"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(C) Summary of model parameters in context of lasI and rhlI. Figure S.3 shows underlying expression data for full time course of experiments; Table S.5 lists the parameter values, and Figures S.6 and S.7 provide a detailed comparison of model predictions and observations.</w:t>
      </w:r>
    </w:p>
    <w:p w:rsidR="00DC0FB3" w:rsidRDefault="00000000">
      <w:pPr>
        <w:pStyle w:val="Heading3"/>
      </w:pPr>
      <w:bookmarkStart w:id="15" w:name="X640711410c21f1b42f74977b292640e4bbbb74d"/>
      <w:bookmarkEnd w:id="13"/>
      <w:r>
        <w:t>Mathematical Models Incorporating Multi-signal Interactions Predict Quorum Sensing Response to Environmental Variation</w:t>
      </w:r>
    </w:p>
    <w:p w:rsidR="00DC0FB3" w:rsidRDefault="00000000">
      <w:pPr>
        <w:pStyle w:val="FirstParagraph"/>
      </w:pPr>
      <w:r>
        <w:t xml:space="preserve">Our parameterized gene expression model (Equation 2)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7 and S.6), which leaves open the question of how the signal environment </w:t>
      </w:r>
      <w:r>
        <w:rPr>
          <w:b/>
          <w:bCs/>
        </w:rPr>
        <w:t>S</w:t>
      </w:r>
      <w:r>
        <w:t xml:space="preserve"> relates to underlying dimensions of environmental variation—the hypothesized sensing targets of quorum sensing (population density (Fuqua, Winans, and Greenberg 1994), diffusion (Redfield 2002), efficiency (Hense et al. 2007), containment (Boedicker, Vincent, and Ismagilov 2009), genotypes (Allen et al. 2016), combinations (Cornforth et al. 2014), etc.)</w:t>
      </w:r>
    </w:p>
    <w:p w:rsidR="00DC0FB3"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(James et al. 2000; Dockery and Keener 2001; Ward et al. 2001; Brown 2013; Cornforth et al. 2014). We assume that signal concentration increases in </w:t>
      </w:r>
      <w:r>
        <w:lastRenderedPageBreak/>
        <w:t xml:space="preserve">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DC0FB3" w:rsidRDefault="00EF2F4A">
      <w:pPr>
        <w:pStyle w:val="FirstParagraph"/>
      </w:pPr>
      <w:r>
        <w:rPr>
          <w:noProof/>
        </w:rPr>
        <w:drawing>
          <wp:inline distT="0" distB="0" distL="0" distR="0">
            <wp:extent cx="5486400" cy="2820112"/>
            <wp:effectExtent l="0" t="0" r="0" b="0"/>
            <wp:docPr id="7468245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24579" name="Graphic 746824579"/>
                    <pic:cNvPicPr/>
                  </pic:nvPicPr>
                  <pic:blipFill>
                    <a:blip r:embed="rId27">
                      <a:extLst>
                        <a:ext uri="{96DAC541-7B7A-43D3-8B79-37D633B846F1}">
                          <asvg:svgBlip xmlns:asvg="http://schemas.microsoft.com/office/drawing/2016/SVG/main" r:embed="rId28"/>
                        </a:ext>
                      </a:extLst>
                    </a:blip>
                    <a:stretch>
                      <a:fillRect/>
                    </a:stretch>
                  </pic:blipFill>
                  <pic:spPr>
                    <a:xfrm>
                      <a:off x="0" y="0"/>
                      <a:ext cx="5486400" cy="2820112"/>
                    </a:xfrm>
                    <a:prstGeom prst="rect">
                      <a:avLst/>
                    </a:prstGeom>
                  </pic:spPr>
                </pic:pic>
              </a:graphicData>
            </a:graphic>
          </wp:inline>
        </w:drawing>
      </w:r>
    </w:p>
    <w:p w:rsidR="00DC0FB3"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3 for either independent (Equation1 or synergistic (Equation 2)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DC0FB3" w:rsidRDefault="00000000">
      <w:pPr>
        <w:pStyle w:val="BodyText"/>
      </w:pPr>
      <w:r>
        <w:t xml:space="preserve">To numerically solve for equilibrium signal values in Equation 3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2,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2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DC0FB3" w:rsidRDefault="00000000">
      <w:pPr>
        <w:pStyle w:val="BodyText"/>
      </w:pPr>
      <w:r>
        <w:t xml:space="preserve">In Figure 10 we illustrate our integrated model prediction of </w:t>
      </w:r>
      <w:r>
        <w:rPr>
          <w:i/>
          <w:iCs/>
        </w:rPr>
        <w:t>lasB</w:t>
      </w:r>
      <w:r>
        <w:t xml:space="preserve"> expression as a function of change in stationary phase population density, </w:t>
      </w:r>
      <w:r>
        <w:rPr>
          <w:i/>
          <w:iCs/>
        </w:rPr>
        <w:t>N</w:t>
      </w:r>
      <w:r>
        <w:t xml:space="preserve"> (solid line, Figure 10), capturing the causal chain from environment </w:t>
      </w:r>
      <w:r>
        <w:rPr>
          <w:i/>
          <w:iCs/>
        </w:rPr>
        <w:t>N</w:t>
      </w:r>
      <w:r>
        <w:t xml:space="preserve"> to signal levels </w:t>
      </w:r>
      <w:r>
        <w:rPr>
          <w:b/>
          <w:bCs/>
        </w:rPr>
        <w:t>S</w:t>
      </w:r>
      <w:r>
        <w:t xml:space="preserve"> (Equation 3) and signals </w:t>
      </w:r>
      <w:r>
        <w:rPr>
          <w:b/>
          <w:bCs/>
        </w:rPr>
        <w:t>S</w:t>
      </w:r>
      <w:r>
        <w:t xml:space="preserve"> to </w:t>
      </w:r>
      <w:r>
        <w:rPr>
          <w:i/>
          <w:iCs/>
        </w:rPr>
        <w:t>lasB</w:t>
      </w:r>
      <w:r>
        <w:t xml:space="preserve"> expression (Equation 2, Figure 9, Table S.5). To test this prediction using an independent dataset, we use previously published data on </w:t>
      </w:r>
      <w:r>
        <w:rPr>
          <w:i/>
          <w:iCs/>
        </w:rPr>
        <w:t>lasB</w:t>
      </w:r>
      <w:r>
        <w:t xml:space="preserve"> expression as a function of stationary phase density (Rattray et al. 2022). Our model prediction is in strong agreement with the data (R</w:t>
      </w:r>
      <w:r>
        <w:rPr>
          <w:vertAlign w:val="superscript"/>
        </w:rPr>
        <w:t>2</w:t>
      </w:r>
      <w:r>
        <w:t xml:space="preserve"> = 0.91), demonstrating not only the utility of our approach but also providing theoretical support for the conclusions of the prior experimental study (Rattray et al. 2022): QS controlled behaviors in </w:t>
      </w:r>
      <w:r>
        <w:rPr>
          <w:i/>
          <w:iCs/>
        </w:rPr>
        <w:t>P. aeruginosa</w:t>
      </w:r>
      <w:r>
        <w:t xml:space="preserve"> are </w:t>
      </w:r>
      <w:r>
        <w:lastRenderedPageBreak/>
        <w:t>not governed by a critical cell density or ‘quorum’ threshold separating off/on states, but are better described as producing graded or rheostatic responses to changes in density.</w:t>
      </w:r>
    </w:p>
    <w:p w:rsidR="00DC0FB3" w:rsidRDefault="00000000">
      <w:pPr>
        <w:pStyle w:val="CaptionedFigure"/>
      </w:pPr>
      <w:bookmarkStart w:id="16" w:name="fig:lasb_response"/>
      <w:r>
        <w:rPr>
          <w:noProof/>
        </w:rPr>
        <w:drawing>
          <wp:inline distT="0" distB="0" distL="0" distR="0">
            <wp:extent cx="4076700" cy="3162300"/>
            <wp:effectExtent l="0" t="0" r="0" b="0"/>
            <wp:docPr id="73" name="Picture" descr="Figure 10: lasb_response"/>
            <wp:cNvGraphicFramePr/>
            <a:graphic xmlns:a="http://schemas.openxmlformats.org/drawingml/2006/main">
              <a:graphicData uri="http://schemas.openxmlformats.org/drawingml/2006/picture">
                <pic:pic xmlns:pic="http://schemas.openxmlformats.org/drawingml/2006/picture">
                  <pic:nvPicPr>
                    <pic:cNvPr id="74" name="Picture" descr="Figures/lasb_response.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076700" cy="3162300"/>
                    </a:xfrm>
                    <a:prstGeom prst="rect">
                      <a:avLst/>
                    </a:prstGeom>
                    <a:noFill/>
                    <a:ln w="9525">
                      <a:noFill/>
                      <a:headEnd/>
                      <a:tailEnd/>
                    </a:ln>
                  </pic:spPr>
                </pic:pic>
              </a:graphicData>
            </a:graphic>
          </wp:inline>
        </w:drawing>
      </w:r>
    </w:p>
    <w:bookmarkEnd w:id="16"/>
    <w:p w:rsidR="00DC0FB3" w:rsidRDefault="00000000">
      <w:pPr>
        <w:pStyle w:val="Caption"/>
      </w:pPr>
      <w:r>
        <w:rPr>
          <w:b/>
          <w:bCs/>
        </w:rPr>
        <w:t xml:space="preserve">Figure 10. </w:t>
      </w:r>
      <w:r>
        <w:rPr>
          <w:b/>
          <w:bCs/>
          <w:iCs/>
        </w:rPr>
        <w:t>lasB</w:t>
      </w:r>
      <w:r>
        <w:rPr>
          <w:b/>
          <w:bCs/>
        </w:rPr>
        <w:t xml:space="preserve"> responds to increasing bacterial density in a graded manner.</w:t>
      </w:r>
      <w:r>
        <w:t xml:space="preserve"> Reaction norm (Stearns 1989) showing predicted </w:t>
      </w:r>
      <w:r>
        <w:rPr>
          <w:iCs/>
        </w:rPr>
        <w:t>lasB</w:t>
      </w:r>
      <w:r>
        <w:t xml:space="preserve"> expression level (solid line), as a function of population carrying capacity.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(Rattray et al. 2022). Model predictions are in good agreement with independent experimental data (R</w:t>
      </w:r>
      <w:r>
        <w:rPr>
          <w:vertAlign w:val="superscript"/>
        </w:rPr>
        <w:t>2</w:t>
      </w:r>
      <w:r>
        <w:t xml:space="preserve"> = 0.91). Note that the model parameters are not fitted to the data in this figure.</w:t>
      </w:r>
    </w:p>
    <w:p w:rsidR="00DC0FB3" w:rsidRDefault="00000000">
      <w:pPr>
        <w:pStyle w:val="Heading3"/>
      </w:pPr>
      <w:bookmarkStart w:id="17" w:name="Xa6938a39d0945a75713dd8913666836961d703b"/>
      <w:bookmarkEnd w:id="15"/>
      <w:r>
        <w:t>Multi-Signal Architectures Govern Functional Responses to Environmental Variation</w:t>
      </w:r>
    </w:p>
    <w:p w:rsidR="00DC0FB3" w:rsidRDefault="00000000">
      <w:pPr>
        <w:pStyle w:val="FirstParagraph"/>
      </w:pPr>
      <w:r>
        <w:t xml:space="preserve">Following an initial validation of our quantitative predictions linking environmental properties to QS-controlled behaviors (Figure 10),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w:t>
      </w:r>
    </w:p>
    <w:p w:rsidR="00DC0FB3"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w:t>
      </w:r>
      <w:r>
        <w:lastRenderedPageBreak/>
        <w:t xml:space="preserve">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DC0FB3" w:rsidRDefault="00000000">
      <w:pPr>
        <w:pStyle w:val="BodyText"/>
      </w:pPr>
      <w:r>
        <w:t xml:space="preserve">Using our alternate models, we examine in Figure 11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11A (reciprocal architecture) with </w:t>
      </w:r>
      <w:r>
        <w:rPr>
          <w:i/>
          <w:iCs/>
        </w:rPr>
        <w:t>m =</w:t>
      </w:r>
      <w:r>
        <w:t xml:space="preserve"> 0, we recover the graded response to increasing stationary density </w:t>
      </w:r>
      <w:r>
        <w:rPr>
          <w:i/>
          <w:iCs/>
        </w:rPr>
        <w:t>N</w:t>
      </w:r>
      <w:r>
        <w:t xml:space="preserve"> predicted theoretically and confirmed empirically in Figure 10. Looking across alternate models without rescaling (Figures 11A-C)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11D-F)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DC0FB3" w:rsidRDefault="00000000">
      <w:pPr>
        <w:pStyle w:val="CaptionedFigure"/>
      </w:pPr>
      <w:bookmarkStart w:id="18" w:name="fig:lasb_heatmaps"/>
      <w:r>
        <w:rPr>
          <w:noProof/>
        </w:rPr>
        <w:drawing>
          <wp:inline distT="0" distB="0" distL="0" distR="0">
            <wp:extent cx="4762500" cy="3238500"/>
            <wp:effectExtent l="0" t="0" r="0" b="0"/>
            <wp:docPr id="79" name="Picture" descr="Figure 11: lasb_heatmaps"/>
            <wp:cNvGraphicFramePr/>
            <a:graphic xmlns:a="http://schemas.openxmlformats.org/drawingml/2006/main">
              <a:graphicData uri="http://schemas.openxmlformats.org/drawingml/2006/picture">
                <pic:pic xmlns:pic="http://schemas.openxmlformats.org/drawingml/2006/picture">
                  <pic:nvPicPr>
                    <pic:cNvPr id="80" name="Picture" descr="Figures/lasb_heatmap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18"/>
    <w:p w:rsidR="00DC0FB3" w:rsidRDefault="00000000">
      <w:pPr>
        <w:pStyle w:val="Caption"/>
      </w:pPr>
      <w:r>
        <w:rPr>
          <w:b/>
          <w:bCs/>
        </w:rPr>
        <w:t>Figure 11. The reciprocal QS architecture generates a greater response to population density and is more robust to environmental interference.</w:t>
      </w:r>
      <w:r>
        <w:t xml:space="preserve"> The figure shows heat maps of </w:t>
      </w:r>
      <w:r>
        <w:rPr>
          <w:iCs/>
        </w:rPr>
        <w:t>lasB</w:t>
      </w:r>
      <w:r>
        <w:t xml:space="preserve"> </w:t>
      </w:r>
      <w:r>
        <w:lastRenderedPageBreak/>
        <w:t xml:space="preserve">expression levels for three quorum sensing architectures. Both population density and mass transfer rate are varied over the same ranges for all heatmaps. The lines on each heat map indicate density and mass transfer values for which </w:t>
      </w:r>
      <w:r>
        <w:rPr>
          <w:iCs/>
        </w:rPr>
        <w:t>lasB</w:t>
      </w:r>
      <w:r>
        <w:t xml:space="preserve"> expression is constant, either 50% of its maximum value (white) or 5% of its maximum value (black). Expression levels calculated from equation 2 model with parameters from Tables S.5, S.6, S.7 and S.8.</w:t>
      </w:r>
    </w:p>
    <w:p w:rsidR="00DC0FB3" w:rsidRDefault="00000000">
      <w:pPr>
        <w:pStyle w:val="Heading2"/>
      </w:pPr>
      <w:bookmarkStart w:id="19" w:name="discussion"/>
      <w:bookmarkEnd w:id="4"/>
      <w:bookmarkEnd w:id="17"/>
      <w:r>
        <w:t>Discussion</w:t>
      </w:r>
    </w:p>
    <w:p w:rsidR="00DC0FB3" w:rsidRDefault="00000000">
      <w:pPr>
        <w:pStyle w:val="FirstParagraph"/>
      </w:pPr>
      <w:r>
        <w:t>As our knowledge of quorum sensing deepens across species, it is increasingly clear that the use of multiple QS signal molecules is the norm (e.g. </w:t>
      </w:r>
      <w:r>
        <w:rPr>
          <w:i/>
          <w:iCs/>
        </w:rPr>
        <w:t>E. coli</w:t>
      </w:r>
      <w:r>
        <w:t xml:space="preserve"> (Mayer et al. 2023), </w:t>
      </w:r>
      <w:r>
        <w:rPr>
          <w:i/>
          <w:iCs/>
        </w:rPr>
        <w:t>B. subtilis</w:t>
      </w:r>
      <w:r>
        <w:t xml:space="preserve"> [Auchtung2006], </w:t>
      </w:r>
      <w:r>
        <w:rPr>
          <w:i/>
          <w:iCs/>
        </w:rPr>
        <w:t>P. polymyxa</w:t>
      </w:r>
      <w:r>
        <w:t xml:space="preserve"> (Voichek et al. 2020), </w:t>
      </w:r>
      <w:r>
        <w:rPr>
          <w:i/>
          <w:iCs/>
        </w:rPr>
        <w:t>V. harveyi</w:t>
      </w:r>
      <w:r>
        <w:t xml:space="preserve"> (Henke and Bassler 2004), and </w:t>
      </w:r>
      <w:r>
        <w:rPr>
          <w:i/>
          <w:iCs/>
        </w:rPr>
        <w:t>V. cholerae</w:t>
      </w:r>
      <w:r>
        <w:t xml:space="preserve"> (Bridges and Bassler 2019)). While this widespread design feature has been probed extensively on a molecular mechanistic scale to produce detailed intracellular “wiring diagrams” (Papenfort and Bassler 2016; Mok, Wingreen, and Bassler 2003).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DC0FB3"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2) is incomplete. Specifically, we confirm the observations of Dekimpe and Déziel (Dekimpe and Déziel 2009) and find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We further show that this effect is substantial, as C</w:t>
      </w:r>
      <w:r>
        <w:rPr>
          <w:vertAlign w:val="subscript"/>
        </w:rPr>
        <w:t>4</w:t>
      </w:r>
      <w:r>
        <w:t xml:space="preserve">‑HSL alone induces more than a six-fold increase in </w:t>
      </w:r>
      <w:r>
        <w:rPr>
          <w:i/>
          <w:iCs/>
        </w:rPr>
        <w:t>lasI</w:t>
      </w:r>
      <w:r>
        <w:t xml:space="preserve"> expression compared to basal levels (Figure 4). Fitting mathematical models to data, we quantify within- and among-module interactions, and we demonstrate that the </w:t>
      </w:r>
      <w:r>
        <w:rPr>
          <w:i/>
          <w:iCs/>
        </w:rPr>
        <w:t>las-rhl</w:t>
      </w:r>
      <w:r>
        <w:t xml:space="preserve"> system functions as a biased, reciprocally-activating and cooperative network (Figures 6, 7, and 8). To place this intracellular network in an environmental context, we extend our mathematical model to incorporate environmental variation, and find close quantitative support for our model predictions using existing data (Figure 10).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11).</w:t>
      </w:r>
    </w:p>
    <w:p w:rsidR="00DC0FB3" w:rsidRDefault="00000000">
      <w:pPr>
        <w:pStyle w:val="BodyText"/>
      </w:pPr>
      <w:r>
        <w:t xml:space="preserve">Turning to the most common functional rationales for QS, the parameterized Figure 11A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(Hense et al. 2007) and combinatorial quorum sensing (Cornforth et al. 2014).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(Cornforth et al. 2014), while our current analysis additionally supports specific predictions on auto-regulation rates (stronger rates of auto-regulation for the more fragile 3‑oxo‑C</w:t>
      </w:r>
      <w:r>
        <w:rPr>
          <w:vertAlign w:val="subscript"/>
        </w:rPr>
        <w:t>12</w:t>
      </w:r>
      <w:r>
        <w:t>‑HSL signal, Table S.4).</w:t>
      </w:r>
    </w:p>
    <w:p w:rsidR="00DC0FB3" w:rsidRDefault="00000000">
      <w:pPr>
        <w:pStyle w:val="BodyText"/>
      </w:pPr>
      <w:r>
        <w:lastRenderedPageBreak/>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12). Our analyses illustrate that the prediction of differential signal responses to changing environmental parameters is substantial given the independent architecture (different contour slopes in Figure 12C,F), but is attenuated given reciprocal chitecture (Figure 12A,D).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DC0FB3" w:rsidRDefault="00000000">
      <w:pPr>
        <w:pStyle w:val="CaptionedFigure"/>
      </w:pPr>
      <w:bookmarkStart w:id="20" w:name="fig:signals_scaled_heatmaps"/>
      <w:r>
        <w:rPr>
          <w:noProof/>
        </w:rPr>
        <w:drawing>
          <wp:inline distT="0" distB="0" distL="0" distR="0">
            <wp:extent cx="4762500" cy="3238500"/>
            <wp:effectExtent l="0" t="0" r="0" b="0"/>
            <wp:docPr id="86" name="Picture" descr="Figure 12: signals_scaled_heatmaps"/>
            <wp:cNvGraphicFramePr/>
            <a:graphic xmlns:a="http://schemas.openxmlformats.org/drawingml/2006/main">
              <a:graphicData uri="http://schemas.openxmlformats.org/drawingml/2006/picture">
                <pic:pic xmlns:pic="http://schemas.openxmlformats.org/drawingml/2006/picture">
                  <pic:nvPicPr>
                    <pic:cNvPr id="87" name="Picture" descr="Figures/signals_scaled_heatmaps.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0"/>
    <w:p w:rsidR="00DC0FB3" w:rsidRDefault="00000000">
      <w:pPr>
        <w:pStyle w:val="Caption"/>
      </w:pPr>
      <w:r>
        <w:rPr>
          <w:b/>
          <w:bCs/>
        </w:rPr>
        <w:t>Figure 12.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that normalize all three archictures (Tables S.8). Figure S.10 shows signal concentrations using non-rescaled parameters.</w:t>
      </w:r>
    </w:p>
    <w:p w:rsidR="00DC0FB3" w:rsidRDefault="00000000">
      <w:pPr>
        <w:pStyle w:val="BodyText"/>
      </w:pPr>
      <w:r>
        <w:t xml:space="preserve">By focusing on signal concentration as the factor determining behavior, our approach accommodates multiple possible molecular mechanisms. It does mean, however, that we cannot easily distinguish between alternate mechanistic accounts linking signal exposure to changes in </w:t>
      </w:r>
      <w:r>
        <w:lastRenderedPageBreak/>
        <w:t>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5 and 6) raise additional mechanistic questions. In particular, Figure 6 raises challenges for standard additive (Long et al. 2009) or multiplicative (Kaplan et al. 2008) models of gene expression as a function of multiple inputs. Sauer et al. (1995)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DC0FB3" w:rsidRDefault="00000000">
      <w:pPr>
        <w:pStyle w:val="BodyText"/>
      </w:pPr>
      <w:r>
        <w:t xml:space="preserve">Finally, we highlight that our model is not constrained to dual-signal QS, or to mutually enhancing interactions among signal systems. The </w:t>
      </w:r>
      <w:r>
        <w:rPr>
          <w:i/>
          <w:iCs/>
        </w:rPr>
        <w:t>pqs</w:t>
      </w:r>
      <w:r>
        <w:t xml:space="preserve"> system of </w:t>
      </w:r>
      <w:r>
        <w:rPr>
          <w:i/>
          <w:iCs/>
        </w:rPr>
        <w:t>P. aeruginosa,</w:t>
      </w:r>
      <w:r>
        <w:t xml:space="preserve"> for example, is both induced by the </w:t>
      </w:r>
      <w:r>
        <w:rPr>
          <w:i/>
          <w:iCs/>
        </w:rPr>
        <w:t>las</w:t>
      </w:r>
      <w:r>
        <w:t xml:space="preserve"> system and repressed by the </w:t>
      </w:r>
      <w:r>
        <w:rPr>
          <w:i/>
          <w:iCs/>
        </w:rPr>
        <w:t>rhl</w:t>
      </w:r>
      <w:r>
        <w:t xml:space="preserve"> sytem and it, in turn, can induce the </w:t>
      </w:r>
      <w:r>
        <w:rPr>
          <w:i/>
          <w:iCs/>
        </w:rPr>
        <w:t>rhl</w:t>
      </w:r>
      <w:r>
        <w:t xml:space="preserve"> system (McGrath, Wade, and Pesci 2004; Lee and Zhang 2015); however, that knowledge alone is not sufficient to predict population behavior. The relative strengths of those interaction can make a qualitative difference in that behavior, as Figure 13 demonstrates. In sum, our methodology provides a general and flexible methodology to quantify the multi-signal “wiring diagrams” of quorum-sensing bacteria and functionally link these wiring diagrams to QS-controlled responses to environmental variation.</w:t>
      </w:r>
    </w:p>
    <w:p w:rsidR="00DC0FB3" w:rsidRDefault="00000000">
      <w:pPr>
        <w:pStyle w:val="CaptionedFigure"/>
      </w:pPr>
      <w:bookmarkStart w:id="21" w:name="fig:three_signals"/>
      <w:r>
        <w:rPr>
          <w:noProof/>
        </w:rPr>
        <w:lastRenderedPageBreak/>
        <w:drawing>
          <wp:inline distT="0" distB="0" distL="0" distR="0">
            <wp:extent cx="5238750" cy="4019550"/>
            <wp:effectExtent l="0" t="0" r="0" b="0"/>
            <wp:docPr id="91" name="Picture" descr="Figure 13: three_signals"/>
            <wp:cNvGraphicFramePr/>
            <a:graphic xmlns:a="http://schemas.openxmlformats.org/drawingml/2006/main">
              <a:graphicData uri="http://schemas.openxmlformats.org/drawingml/2006/picture">
                <pic:pic xmlns:pic="http://schemas.openxmlformats.org/drawingml/2006/picture">
                  <pic:nvPicPr>
                    <pic:cNvPr id="92" name="Picture" descr="Figures/three_signals.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238750" cy="4019550"/>
                    </a:xfrm>
                    <a:prstGeom prst="rect">
                      <a:avLst/>
                    </a:prstGeom>
                    <a:noFill/>
                    <a:ln w="9525">
                      <a:noFill/>
                      <a:headEnd/>
                      <a:tailEnd/>
                    </a:ln>
                  </pic:spPr>
                </pic:pic>
              </a:graphicData>
            </a:graphic>
          </wp:inline>
        </w:drawing>
      </w:r>
    </w:p>
    <w:bookmarkEnd w:id="21"/>
    <w:p w:rsidR="00DC0FB3" w:rsidRDefault="00000000">
      <w:pPr>
        <w:pStyle w:val="Caption"/>
      </w:pPr>
      <w:r>
        <w:rPr>
          <w:b/>
          <w:bCs/>
        </w:rPr>
        <w:t>Figure 13.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the synthase expression levels as a function of population density. As the four panels show, even within the constraints of a particular architecture, a wide variety of responses are possible. In panel A, the third system is weakly activated with increasing population density, as indicated by the expression level of the synthase of QS3. Panel B, on the other hand, shows a strong activation of the third system with increasing density. Panels C and D both show a strong initial activation that (C) reaches a limit at which point increases in density does not increase activation or (D) is damped and begins to decline as density increased further. Table S.8 lists the specific parameters used for all panels.</w:t>
      </w:r>
    </w:p>
    <w:p w:rsidR="00DC0FB3" w:rsidRDefault="00000000">
      <w:pPr>
        <w:pStyle w:val="Heading2"/>
      </w:pPr>
      <w:bookmarkStart w:id="22" w:name="methods"/>
      <w:bookmarkEnd w:id="19"/>
      <w:r>
        <w:t>Methods</w:t>
      </w:r>
    </w:p>
    <w:p w:rsidR="00DC0FB3" w:rsidRDefault="00000000">
      <w:pPr>
        <w:pStyle w:val="Heading3"/>
      </w:pPr>
      <w:bookmarkStart w:id="23" w:name="data-collection"/>
      <w:r>
        <w:t>Data Collection</w:t>
      </w:r>
    </w:p>
    <w:p w:rsidR="00DC0FB3"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DC0FB3" w:rsidRDefault="00000000">
      <w:pPr>
        <w:pStyle w:val="BodyText"/>
      </w:pPr>
      <w:r>
        <w:lastRenderedPageBreak/>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DC0FB3" w:rsidRDefault="00000000">
      <w:pPr>
        <w:pStyle w:val="Heading3"/>
      </w:pPr>
      <w:bookmarkStart w:id="24" w:name="data-analysis"/>
      <w:bookmarkEnd w:id="23"/>
      <w:r>
        <w:t>Data Analysis</w:t>
      </w:r>
    </w:p>
    <w:p w:rsidR="00DC0FB3" w:rsidRDefault="00000000">
      <w:pPr>
        <w:pStyle w:val="FirstParagraph"/>
      </w:pPr>
      <w:r>
        <w:t xml:space="preserve">We estimated parameter values in Tables S.3, S.4, S.5, and S.6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DC0FB3" w:rsidRDefault="00000000">
      <w:pPr>
        <w:pStyle w:val="BodyText"/>
      </w:pPr>
      <w:r>
        <w:t>Additional third-party modules:</w:t>
      </w:r>
    </w:p>
    <w:p w:rsidR="00DC0FB3"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DC0FB3"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DC0FB3"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DC0FB3" w:rsidRDefault="00000000">
      <w:pPr>
        <w:pStyle w:val="BodyText"/>
      </w:pPr>
      <w:r>
        <w:t>Custom color schemes adapted from seaboarn.</w:t>
      </w:r>
    </w:p>
    <w:p w:rsidR="00DC0FB3"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DC0FB3" w:rsidRDefault="00000000">
      <w:pPr>
        <w:pStyle w:val="Heading2"/>
      </w:pPr>
      <w:bookmarkStart w:id="25" w:name="references"/>
      <w:bookmarkEnd w:id="22"/>
      <w:bookmarkEnd w:id="24"/>
      <w:r>
        <w:t>References</w:t>
      </w:r>
    </w:p>
    <w:p w:rsidR="00DC0FB3" w:rsidRDefault="00000000">
      <w:pPr>
        <w:pStyle w:val="Bibliography"/>
      </w:pPr>
      <w:bookmarkStart w:id="26" w:name="ref-Allen2016"/>
      <w:bookmarkStart w:id="27" w:name="refs"/>
      <w:r>
        <w:t xml:space="preserve">Allen, RC, L McNally, R Popat, and SP Brown. 2016. “Quorum Sensing Protects Bacterial Co-Operation from Exploitation by Cheats.” </w:t>
      </w:r>
      <w:r>
        <w:rPr>
          <w:i/>
          <w:iCs/>
        </w:rPr>
        <w:t>ISME J</w:t>
      </w:r>
      <w:r>
        <w:t xml:space="preserve"> 10 (7): 1706–16.</w:t>
      </w:r>
    </w:p>
    <w:p w:rsidR="00DC0FB3" w:rsidRDefault="00000000">
      <w:pPr>
        <w:pStyle w:val="Bibliography"/>
      </w:pPr>
      <w:bookmarkStart w:id="28" w:name="ref-Boedicker2009"/>
      <w:bookmarkEnd w:id="26"/>
      <w:r>
        <w:t xml:space="preserve">Boedicker, JQ, ME Vincent, and RF Ismagilov. 2009. “Microfluidic Confinement of Single Cells of Bacteria in Small Volumes Initiates High-Density Behavior of Quorum Sensing and Growth and Reveals Its Variability.” </w:t>
      </w:r>
      <w:r>
        <w:rPr>
          <w:i/>
          <w:iCs/>
        </w:rPr>
        <w:t>Angew Chem Int Ed Engl</w:t>
      </w:r>
      <w:r>
        <w:t xml:space="preserve"> 48 (32): 5908–11.</w:t>
      </w:r>
    </w:p>
    <w:p w:rsidR="00DC0FB3" w:rsidRDefault="00000000">
      <w:pPr>
        <w:pStyle w:val="Bibliography"/>
      </w:pPr>
      <w:bookmarkStart w:id="29" w:name="ref-Bolouri2008"/>
      <w:bookmarkEnd w:id="28"/>
      <w:r>
        <w:t xml:space="preserve">Bolouri, Hamid. 2008. </w:t>
      </w:r>
      <w:r>
        <w:rPr>
          <w:i/>
          <w:iCs/>
        </w:rPr>
        <w:t>Computational Modeling of Gene Regulatory Networks: A Primer</w:t>
      </w:r>
      <w:r>
        <w:t>. Imperial College Press.</w:t>
      </w:r>
    </w:p>
    <w:p w:rsidR="00DC0FB3" w:rsidRDefault="00000000">
      <w:pPr>
        <w:pStyle w:val="Bibliography"/>
      </w:pPr>
      <w:bookmarkStart w:id="30" w:name="ref-Bottomley2007"/>
      <w:bookmarkEnd w:id="29"/>
      <w:r>
        <w:lastRenderedPageBreak/>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DC0FB3" w:rsidRDefault="00000000">
      <w:pPr>
        <w:pStyle w:val="Bibliography"/>
      </w:pPr>
      <w:bookmarkStart w:id="31" w:name="ref-Bridges2019"/>
      <w:bookmarkEnd w:id="30"/>
      <w:r>
        <w:t xml:space="preserve">Bridges, AA, and BL Bassler. 2019. “The Intragenus and Interspecies Quorum-Sensing Autoinducers Exert Distinct Control over Vibrio Cholerae Biofilm Formation and Dispersal.” </w:t>
      </w:r>
      <w:r>
        <w:rPr>
          <w:i/>
          <w:iCs/>
        </w:rPr>
        <w:t>PLoS Biol</w:t>
      </w:r>
      <w:r>
        <w:t xml:space="preserve"> 17 (11): e3000429.</w:t>
      </w:r>
    </w:p>
    <w:p w:rsidR="00DC0FB3" w:rsidRDefault="00000000">
      <w:pPr>
        <w:pStyle w:val="Bibliography"/>
      </w:pPr>
      <w:bookmarkStart w:id="32" w:name="ref-Brown2013"/>
      <w:bookmarkEnd w:id="31"/>
      <w:r>
        <w:t xml:space="preserve">Brown, D. 2013. “Linking Molecular and Population Processes in Mathematical Models of Quorum Sensing.” </w:t>
      </w:r>
      <w:r>
        <w:rPr>
          <w:i/>
          <w:iCs/>
        </w:rPr>
        <w:t>Bull Math Biol</w:t>
      </w:r>
      <w:r>
        <w:t xml:space="preserve"> 75 (10): 1813–39.</w:t>
      </w:r>
    </w:p>
    <w:p w:rsidR="00DC0FB3" w:rsidRDefault="00000000">
      <w:pPr>
        <w:pStyle w:val="Bibliography"/>
      </w:pPr>
      <w:bookmarkStart w:id="33" w:name="ref-Buchler2003"/>
      <w:bookmarkEnd w:id="32"/>
      <w:r>
        <w:t xml:space="preserve">Buchler, NE, U Gerland, and T Hwa. 2003. “On Schemes of Combinatorial Transcription Logic.” </w:t>
      </w:r>
      <w:r>
        <w:rPr>
          <w:i/>
          <w:iCs/>
        </w:rPr>
        <w:t>Proc Natl Acad Sci U S A</w:t>
      </w:r>
      <w:r>
        <w:t xml:space="preserve"> 100 (9): 5136–41.</w:t>
      </w:r>
    </w:p>
    <w:p w:rsidR="00DC0FB3" w:rsidRDefault="00000000">
      <w:pPr>
        <w:pStyle w:val="Bibliography"/>
      </w:pPr>
      <w:bookmarkStart w:id="34" w:name="ref-Casilag2016"/>
      <w:bookmarkEnd w:id="33"/>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DC0FB3" w:rsidRDefault="00000000">
      <w:pPr>
        <w:pStyle w:val="Bibliography"/>
      </w:pPr>
      <w:bookmarkStart w:id="35" w:name="ref-Chugani2001"/>
      <w:bookmarkEnd w:id="34"/>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DC0FB3" w:rsidRDefault="00000000">
      <w:pPr>
        <w:pStyle w:val="Bibliography"/>
      </w:pPr>
      <w:bookmarkStart w:id="36" w:name="ref-Cigana2021"/>
      <w:bookmarkEnd w:id="35"/>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DC0FB3" w:rsidRDefault="00000000">
      <w:pPr>
        <w:pStyle w:val="Bibliography"/>
      </w:pPr>
      <w:bookmarkStart w:id="37" w:name="ref-Cornforth2014"/>
      <w:bookmarkEnd w:id="36"/>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DC0FB3" w:rsidRDefault="00000000">
      <w:pPr>
        <w:pStyle w:val="Bibliography"/>
      </w:pPr>
      <w:bookmarkStart w:id="38" w:name="ref-Dekimpe2009"/>
      <w:bookmarkEnd w:id="37"/>
      <w:r>
        <w:t xml:space="preserve">Dekimpe, V, and E Déziel. 2009. “Revisiting the Quorum-Sensing Hierarchy in Pseudomonas Aeruginosa: The Transcriptional Regulator RhlR Regulates LasR-Specific Factors.” </w:t>
      </w:r>
      <w:r>
        <w:rPr>
          <w:i/>
          <w:iCs/>
        </w:rPr>
        <w:t>Microbiology (Reading)</w:t>
      </w:r>
      <w:r>
        <w:t xml:space="preserve"> 155 (Pt 3): 712–23.</w:t>
      </w:r>
    </w:p>
    <w:p w:rsidR="00DC0FB3" w:rsidRDefault="00000000">
      <w:pPr>
        <w:pStyle w:val="Bibliography"/>
      </w:pPr>
      <w:bookmarkStart w:id="39" w:name="ref-Diggle2007"/>
      <w:bookmarkEnd w:id="38"/>
      <w:r>
        <w:t xml:space="preserve">Diggle, SP, AS Griffin, GS Campbell, and SA West. 2007. “Cooperation and Conflict in Quorum-Sensing Bacterial Populations.” </w:t>
      </w:r>
      <w:r>
        <w:rPr>
          <w:i/>
          <w:iCs/>
        </w:rPr>
        <w:t>Nature</w:t>
      </w:r>
      <w:r>
        <w:t xml:space="preserve"> 450 (7168): 411–14.</w:t>
      </w:r>
    </w:p>
    <w:p w:rsidR="00DC0FB3" w:rsidRDefault="00000000">
      <w:pPr>
        <w:pStyle w:val="Bibliography"/>
      </w:pPr>
      <w:bookmarkStart w:id="40" w:name="ref-Dockery2001"/>
      <w:bookmarkEnd w:id="39"/>
      <w:r>
        <w:t xml:space="preserve">Dockery, JD, and JP Keener. 2001. “A Mathematical Model for Quorum Sensing in </w:t>
      </w:r>
      <w:r>
        <w:rPr>
          <w:i/>
          <w:iCs/>
        </w:rPr>
        <w:t>Pseudomonas Aeruginosa</w:t>
      </w:r>
      <w:r>
        <w:t xml:space="preserve">.” </w:t>
      </w:r>
      <w:r>
        <w:rPr>
          <w:i/>
          <w:iCs/>
        </w:rPr>
        <w:t>Bull Math Biol</w:t>
      </w:r>
      <w:r>
        <w:t xml:space="preserve"> 63 (1): 95–116.</w:t>
      </w:r>
    </w:p>
    <w:p w:rsidR="00DC0FB3" w:rsidRDefault="00000000">
      <w:pPr>
        <w:pStyle w:val="Bibliography"/>
      </w:pPr>
      <w:bookmarkStart w:id="41" w:name="ref-Fuqua1994"/>
      <w:bookmarkEnd w:id="40"/>
      <w:r>
        <w:t xml:space="preserve">Fuqua, WC, SC Winans, and EP Greenberg. 1994. “Quorum Sensing in Bacteria: The LuxR-LuxI Family of Cell Density-Responsive Transcriptional Regulators.” </w:t>
      </w:r>
      <w:r>
        <w:rPr>
          <w:i/>
          <w:iCs/>
        </w:rPr>
        <w:t>J Bacteriol</w:t>
      </w:r>
      <w:r>
        <w:t xml:space="preserve"> 176 (2): 269–75.</w:t>
      </w:r>
    </w:p>
    <w:p w:rsidR="00DC0FB3" w:rsidRDefault="00000000">
      <w:pPr>
        <w:pStyle w:val="Bibliography"/>
      </w:pPr>
      <w:bookmarkStart w:id="42" w:name="ref-Henke2004"/>
      <w:bookmarkEnd w:id="41"/>
      <w:r>
        <w:t xml:space="preserve">Henke, JM, and BL Bassler. 2004. “Three Parallel Quorum-Sensing Systems Regulate Gene Expression in Vibrio Harveyi.” </w:t>
      </w:r>
      <w:r>
        <w:rPr>
          <w:i/>
          <w:iCs/>
        </w:rPr>
        <w:t>J Bacteriol</w:t>
      </w:r>
      <w:r>
        <w:t xml:space="preserve"> 186 (20): 6902–14.</w:t>
      </w:r>
    </w:p>
    <w:p w:rsidR="00DC0FB3" w:rsidRDefault="00000000">
      <w:pPr>
        <w:pStyle w:val="Bibliography"/>
      </w:pPr>
      <w:bookmarkStart w:id="43" w:name="ref-Hense2007"/>
      <w:bookmarkEnd w:id="42"/>
      <w:r>
        <w:lastRenderedPageBreak/>
        <w:t xml:space="preserve">Hense, BA, C Kuttler, J Müller, M Rothballer, A Hartmann, and JU Kreft. 2007. “Does Efficiency Sensing Unify Diffusion and Quorum Sensing.” </w:t>
      </w:r>
      <w:r>
        <w:rPr>
          <w:i/>
          <w:iCs/>
        </w:rPr>
        <w:t>Nat Rev Microbiol</w:t>
      </w:r>
      <w:r>
        <w:t xml:space="preserve"> 5 (3): 230–39.</w:t>
      </w:r>
    </w:p>
    <w:p w:rsidR="00DC0FB3" w:rsidRDefault="00000000">
      <w:pPr>
        <w:pStyle w:val="Bibliography"/>
      </w:pPr>
      <w:bookmarkStart w:id="44" w:name="ref-James2000"/>
      <w:bookmarkEnd w:id="43"/>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DC0FB3" w:rsidRDefault="00000000">
      <w:pPr>
        <w:pStyle w:val="Bibliography"/>
      </w:pPr>
      <w:bookmarkStart w:id="45" w:name="ref-Kaplan2008"/>
      <w:bookmarkEnd w:id="44"/>
      <w:r>
        <w:t xml:space="preserve">Kaplan, S, A Bren, A Zaslaver, E Dekel, and U Alon. 2008. “Diverse Two-Dimensional Input Functions Control Bacterial Sugar Genes.” </w:t>
      </w:r>
      <w:r>
        <w:rPr>
          <w:i/>
          <w:iCs/>
        </w:rPr>
        <w:t>Mol Cell</w:t>
      </w:r>
      <w:r>
        <w:t xml:space="preserve"> 29 (6): 786–92.</w:t>
      </w:r>
    </w:p>
    <w:p w:rsidR="00DC0FB3" w:rsidRDefault="00000000">
      <w:pPr>
        <w:pStyle w:val="Bibliography"/>
      </w:pPr>
      <w:bookmarkStart w:id="46" w:name="ref-Kiratisin2002"/>
      <w:bookmarkEnd w:id="45"/>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DC0FB3" w:rsidRDefault="00000000">
      <w:pPr>
        <w:pStyle w:val="Bibliography"/>
      </w:pPr>
      <w:bookmarkStart w:id="47" w:name="ref-Latifi1996"/>
      <w:bookmarkEnd w:id="46"/>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DC0FB3" w:rsidRDefault="00000000">
      <w:pPr>
        <w:pStyle w:val="Bibliography"/>
      </w:pPr>
      <w:bookmarkStart w:id="48" w:name="ref-Lee2015"/>
      <w:bookmarkEnd w:id="47"/>
      <w:r>
        <w:t xml:space="preserve">Lee, J, and L Zhang. 2015. “The Hierarchy Quorum Sensing Network in </w:t>
      </w:r>
      <w:r>
        <w:rPr>
          <w:i/>
          <w:iCs/>
        </w:rPr>
        <w:t>Pseudomonas Aeruginosa</w:t>
      </w:r>
      <w:r>
        <w:t xml:space="preserve">.” </w:t>
      </w:r>
      <w:r>
        <w:rPr>
          <w:i/>
          <w:iCs/>
        </w:rPr>
        <w:t>Protein Cell</w:t>
      </w:r>
      <w:r>
        <w:t xml:space="preserve"> 6 (1): 26–41.</w:t>
      </w:r>
    </w:p>
    <w:p w:rsidR="00DC0FB3" w:rsidRDefault="00000000">
      <w:pPr>
        <w:pStyle w:val="Bibliography"/>
      </w:pPr>
      <w:bookmarkStart w:id="49" w:name="ref-Long2009"/>
      <w:bookmarkEnd w:id="48"/>
      <w:r>
        <w:t xml:space="preserve">Long, T, KC Tu, Y Wang, P Mehta, NP Ong, BL Bassler, and NS Wingreen. 2009. “Quantifying the Integration of Quorum-Sensing Signals with Single-Cell Resolution.” </w:t>
      </w:r>
      <w:r>
        <w:rPr>
          <w:i/>
          <w:iCs/>
        </w:rPr>
        <w:t>PLoS Biol</w:t>
      </w:r>
      <w:r>
        <w:t xml:space="preserve"> 7 (3): e68.</w:t>
      </w:r>
    </w:p>
    <w:p w:rsidR="00DC0FB3" w:rsidRDefault="00000000">
      <w:pPr>
        <w:pStyle w:val="Bibliography"/>
      </w:pPr>
      <w:bookmarkStart w:id="50" w:name="ref-Mayer2023"/>
      <w:bookmarkEnd w:id="49"/>
      <w:r>
        <w:t xml:space="preserve">Mayer, C, A Borges, SC Flament-Simon, and M Simões. 2023. “Quorum Sensing Architecture Network in Escherichia Coli Virulence and Pathogenesis.” </w:t>
      </w:r>
      <w:r>
        <w:rPr>
          <w:i/>
          <w:iCs/>
        </w:rPr>
        <w:t>FEMS Microbiol Rev</w:t>
      </w:r>
      <w:r>
        <w:t xml:space="preserve"> 47 (4): fuad031.</w:t>
      </w:r>
    </w:p>
    <w:p w:rsidR="00DC0FB3" w:rsidRDefault="00000000">
      <w:pPr>
        <w:pStyle w:val="Bibliography"/>
      </w:pPr>
      <w:bookmarkStart w:id="51" w:name="ref-McGrath2004"/>
      <w:bookmarkEnd w:id="50"/>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DC0FB3" w:rsidRDefault="00000000">
      <w:pPr>
        <w:pStyle w:val="Bibliography"/>
      </w:pPr>
      <w:bookmarkStart w:id="52" w:name="ref-Mok2003"/>
      <w:bookmarkEnd w:id="51"/>
      <w:r>
        <w:t xml:space="preserve">Mok, KC, NS Wingreen, and BL Bassler. 2003. “Vibrio Harveyi Quorum Sensing: A Coincidence Detector for Two Autoinducers Controls Gene Expression.” </w:t>
      </w:r>
      <w:r>
        <w:rPr>
          <w:i/>
          <w:iCs/>
        </w:rPr>
        <w:t>EMBO J</w:t>
      </w:r>
      <w:r>
        <w:t xml:space="preserve"> 22 (4): 870–81.</w:t>
      </w:r>
    </w:p>
    <w:p w:rsidR="00DC0FB3" w:rsidRDefault="00000000">
      <w:pPr>
        <w:pStyle w:val="Bibliography"/>
      </w:pPr>
      <w:bookmarkStart w:id="53" w:name="ref-Nouwens2003"/>
      <w:bookmarkEnd w:id="52"/>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DC0FB3" w:rsidRDefault="00000000">
      <w:pPr>
        <w:pStyle w:val="Bibliography"/>
      </w:pPr>
      <w:bookmarkStart w:id="54" w:name="ref-Papenfort2016"/>
      <w:bookmarkEnd w:id="53"/>
      <w:r>
        <w:t xml:space="preserve">Papenfort, K, and BL Bassler. 2016. “Quorum Sensing Signal-Response Systems in Gram-Negative Bacteria.” </w:t>
      </w:r>
      <w:r>
        <w:rPr>
          <w:i/>
          <w:iCs/>
        </w:rPr>
        <w:t>Nat Rev Microbiol</w:t>
      </w:r>
      <w:r>
        <w:t xml:space="preserve"> 14 (9): 576–88.</w:t>
      </w:r>
    </w:p>
    <w:p w:rsidR="00DC0FB3" w:rsidRDefault="00000000">
      <w:pPr>
        <w:pStyle w:val="Bibliography"/>
      </w:pPr>
      <w:bookmarkStart w:id="55" w:name="ref-Pearson1997"/>
      <w:bookmarkEnd w:id="54"/>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DC0FB3" w:rsidRDefault="00000000">
      <w:pPr>
        <w:pStyle w:val="Bibliography"/>
      </w:pPr>
      <w:bookmarkStart w:id="56" w:name="ref-Pearson1999"/>
      <w:bookmarkEnd w:id="55"/>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DC0FB3" w:rsidRDefault="00000000">
      <w:pPr>
        <w:pStyle w:val="Bibliography"/>
      </w:pPr>
      <w:bookmarkStart w:id="57" w:name="ref-Perez2018"/>
      <w:bookmarkEnd w:id="56"/>
      <w:r>
        <w:lastRenderedPageBreak/>
        <w:t xml:space="preserve">Pérez-Velázquez, J, and BA Hense. 2018. “Differential Equations Models to Study Quorum Sensing.” </w:t>
      </w:r>
      <w:r>
        <w:rPr>
          <w:i/>
          <w:iCs/>
        </w:rPr>
        <w:t>Methods Mol Biol</w:t>
      </w:r>
      <w:r>
        <w:t xml:space="preserve"> 1673: 253–71.</w:t>
      </w:r>
    </w:p>
    <w:p w:rsidR="00DC0FB3" w:rsidRDefault="00000000">
      <w:pPr>
        <w:pStyle w:val="Bibliography"/>
      </w:pPr>
      <w:bookmarkStart w:id="58" w:name="ref-Pesci1997"/>
      <w:bookmarkEnd w:id="57"/>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DC0FB3" w:rsidRDefault="00000000">
      <w:pPr>
        <w:pStyle w:val="Bibliography"/>
      </w:pPr>
      <w:bookmarkStart w:id="59" w:name="ref-Popat2015"/>
      <w:bookmarkEnd w:id="58"/>
      <w:r>
        <w:t xml:space="preserve">Popat, R, DM Cornforth, L McNally, and SP Brown. 2015. “Collective Sensing and Collective Responses in Quorum-Sensing Bacteria.” </w:t>
      </w:r>
      <w:r>
        <w:rPr>
          <w:i/>
          <w:iCs/>
        </w:rPr>
        <w:t>J R Soc Interface</w:t>
      </w:r>
      <w:r>
        <w:t xml:space="preserve"> 12 (103): 20140882.</w:t>
      </w:r>
    </w:p>
    <w:p w:rsidR="00DC0FB3" w:rsidRDefault="00000000">
      <w:pPr>
        <w:pStyle w:val="Bibliography"/>
      </w:pPr>
      <w:bookmarkStart w:id="60" w:name="ref-Powell1968"/>
      <w:bookmarkEnd w:id="59"/>
      <w:r>
        <w:t>Powell, Michael JD. 1968. “A Fortran Subroutine for Solving Systems of Nonlinear Algebraic Equations.”</w:t>
      </w:r>
    </w:p>
    <w:p w:rsidR="00DC0FB3" w:rsidRDefault="00000000">
      <w:pPr>
        <w:pStyle w:val="Bibliography"/>
      </w:pPr>
      <w:bookmarkStart w:id="61" w:name="ref-Ratkowsky1983"/>
      <w:bookmarkEnd w:id="60"/>
      <w:r>
        <w:t xml:space="preserve">Ratkowsky, David A. 1983. </w:t>
      </w:r>
      <w:r>
        <w:rPr>
          <w:i/>
          <w:iCs/>
        </w:rPr>
        <w:t>Nonlinear Regression Modeling: A Unified Practical Approach</w:t>
      </w:r>
      <w:r>
        <w:t>. Marcel Dekker Incorporated.</w:t>
      </w:r>
    </w:p>
    <w:p w:rsidR="00DC0FB3" w:rsidRDefault="00000000">
      <w:pPr>
        <w:pStyle w:val="Bibliography"/>
      </w:pPr>
      <w:bookmarkStart w:id="62" w:name="ref-Rattray2022"/>
      <w:bookmarkEnd w:id="61"/>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DC0FB3" w:rsidRDefault="00000000">
      <w:pPr>
        <w:pStyle w:val="Bibliography"/>
      </w:pPr>
      <w:bookmarkStart w:id="63" w:name="ref-Redfield2002"/>
      <w:bookmarkEnd w:id="62"/>
      <w:r>
        <w:t xml:space="preserve">Redfield, RJ. 2002. “Is Quorum Sensing a Side Effect of Diffusion Sensing.” </w:t>
      </w:r>
      <w:r>
        <w:rPr>
          <w:i/>
          <w:iCs/>
        </w:rPr>
        <w:t>Trends Microbiol</w:t>
      </w:r>
      <w:r>
        <w:t xml:space="preserve"> 10 (8): 365–70.</w:t>
      </w:r>
    </w:p>
    <w:p w:rsidR="00DC0FB3" w:rsidRDefault="00000000">
      <w:pPr>
        <w:pStyle w:val="Bibliography"/>
      </w:pPr>
      <w:bookmarkStart w:id="64" w:name="ref-Santillán2008"/>
      <w:bookmarkEnd w:id="63"/>
      <w:r>
        <w:t xml:space="preserve">Santillán, Moises. 2008. “On the Use of the Hill Functions in Mathematical Models of Gene Regulatory Networks.” </w:t>
      </w:r>
      <w:r>
        <w:rPr>
          <w:i/>
          <w:iCs/>
        </w:rPr>
        <w:t>Mathematical Modelling of Natural Phenomena</w:t>
      </w:r>
      <w:r>
        <w:t xml:space="preserve"> 3 (2): 85–97.</w:t>
      </w:r>
    </w:p>
    <w:p w:rsidR="00DC0FB3" w:rsidRDefault="00000000">
      <w:pPr>
        <w:pStyle w:val="Bibliography"/>
      </w:pPr>
      <w:bookmarkStart w:id="65" w:name="ref-Sauer1995"/>
      <w:bookmarkEnd w:id="64"/>
      <w:r>
        <w:t xml:space="preserve">Sauer, F, SK Hansen, and R Tjian. 1995. “Multiple TAFIIs Directing Synergistic Activation of Transcription.” </w:t>
      </w:r>
      <w:r>
        <w:rPr>
          <w:i/>
          <w:iCs/>
        </w:rPr>
        <w:t>Science</w:t>
      </w:r>
      <w:r>
        <w:t xml:space="preserve"> 270 (5243): 1783–88.</w:t>
      </w:r>
    </w:p>
    <w:p w:rsidR="00DC0FB3" w:rsidRDefault="00000000">
      <w:pPr>
        <w:pStyle w:val="Bibliography"/>
      </w:pPr>
      <w:bookmarkStart w:id="66" w:name="ref-Schuster2007"/>
      <w:bookmarkEnd w:id="65"/>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DC0FB3" w:rsidRDefault="00000000">
      <w:pPr>
        <w:pStyle w:val="Bibliography"/>
      </w:pPr>
      <w:bookmarkStart w:id="67" w:name="ref-Sexton2017"/>
      <w:bookmarkEnd w:id="66"/>
      <w:r>
        <w:t xml:space="preserve">Sexton, DJ, and M Schuster. 2017. “Nutrient Limitation Determines the Fitness of Cheaters in Bacterial Siderophore Cooperation.” </w:t>
      </w:r>
      <w:r>
        <w:rPr>
          <w:i/>
          <w:iCs/>
        </w:rPr>
        <w:t>Nat Commun</w:t>
      </w:r>
      <w:r>
        <w:t xml:space="preserve"> 8 (1): 230.</w:t>
      </w:r>
    </w:p>
    <w:p w:rsidR="00DC0FB3" w:rsidRDefault="00000000">
      <w:pPr>
        <w:pStyle w:val="Bibliography"/>
      </w:pPr>
      <w:bookmarkStart w:id="68" w:name="ref-Stearns1989"/>
      <w:bookmarkEnd w:id="67"/>
      <w:r>
        <w:t xml:space="preserve">Stearns, SC. 1989. “The Evolutionary Significance of Phenotypic Plasticity.” </w:t>
      </w:r>
      <w:r>
        <w:rPr>
          <w:i/>
          <w:iCs/>
        </w:rPr>
        <w:t>Bioscience</w:t>
      </w:r>
      <w:r>
        <w:t>.</w:t>
      </w:r>
    </w:p>
    <w:p w:rsidR="00DC0FB3" w:rsidRDefault="00000000">
      <w:pPr>
        <w:pStyle w:val="Bibliography"/>
      </w:pPr>
      <w:bookmarkStart w:id="69" w:name="ref-Voichek2020"/>
      <w:bookmarkEnd w:id="68"/>
      <w:r>
        <w:t xml:space="preserve">Voichek, M, S Maaß, T Kroniger, D Becher, and R Sorek. 2020. “Peptide-Based Quorum Sensing Systems in Paenibacillus Polymyxa.” </w:t>
      </w:r>
      <w:r>
        <w:rPr>
          <w:i/>
          <w:iCs/>
        </w:rPr>
        <w:t>Life Sci Alliance</w:t>
      </w:r>
      <w:r>
        <w:t xml:space="preserve"> 3 (10): e202000847.</w:t>
      </w:r>
    </w:p>
    <w:p w:rsidR="00DC0FB3" w:rsidRDefault="00000000">
      <w:pPr>
        <w:pStyle w:val="Bibliography"/>
      </w:pPr>
      <w:bookmarkStart w:id="70" w:name="ref-Ward2001"/>
      <w:bookmarkEnd w:id="69"/>
      <w:r>
        <w:t xml:space="preserve">Ward, JP, JR King, AJ Koerber, P Williams, JM Croft, and RE Sockett. 2001. “Mathematical Modelling of Quorum Sensing in Bacteria.” </w:t>
      </w:r>
      <w:r>
        <w:rPr>
          <w:i/>
          <w:iCs/>
        </w:rPr>
        <w:t>IMA J Math Appl Med Biol</w:t>
      </w:r>
      <w:r>
        <w:t xml:space="preserve"> 18 (3): 263–92.</w:t>
      </w:r>
    </w:p>
    <w:p w:rsidR="00DC0FB3" w:rsidRDefault="00000000">
      <w:pPr>
        <w:pStyle w:val="Bibliography"/>
      </w:pPr>
      <w:bookmarkStart w:id="71" w:name="ref-Whiteley2017"/>
      <w:bookmarkEnd w:id="70"/>
      <w:r>
        <w:t xml:space="preserve">Whiteley, M, SP Diggle, and EP Greenberg. 2017. “Progress in and Promise of Bacterial Quorum Sensing Research.” </w:t>
      </w:r>
      <w:r>
        <w:rPr>
          <w:i/>
          <w:iCs/>
        </w:rPr>
        <w:t>Nature</w:t>
      </w:r>
      <w:r>
        <w:t xml:space="preserve"> 551 (7680): 313–20.</w:t>
      </w:r>
    </w:p>
    <w:p w:rsidR="00DC0FB3" w:rsidRDefault="00000000">
      <w:pPr>
        <w:pStyle w:val="Bibliography"/>
      </w:pPr>
      <w:bookmarkStart w:id="72" w:name="ref-Whiteley1999"/>
      <w:bookmarkEnd w:id="71"/>
      <w:r>
        <w:t xml:space="preserve">Whiteley, M, KM Lee, and EP Greenberg. 1999. “Identification of Genes Controlled by Quorum Sensing in Pseudomonas Aeruginosa.” </w:t>
      </w:r>
      <w:r>
        <w:rPr>
          <w:i/>
          <w:iCs/>
        </w:rPr>
        <w:t>Proc Natl Acad Sci U S A</w:t>
      </w:r>
      <w:r>
        <w:t xml:space="preserve"> 96 (24): 13904–9.</w:t>
      </w:r>
      <w:bookmarkEnd w:id="0"/>
      <w:bookmarkEnd w:id="25"/>
      <w:bookmarkEnd w:id="27"/>
      <w:bookmarkEnd w:id="72"/>
    </w:p>
    <w:sectPr w:rsidR="00DC0FB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1025DC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FF2012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45901535">
    <w:abstractNumId w:val="0"/>
  </w:num>
  <w:num w:numId="3" w16cid:durableId="18489848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7D0AF9"/>
    <w:rsid w:val="00A55592"/>
    <w:rsid w:val="00C746F5"/>
    <w:rsid w:val="00D220FA"/>
    <w:rsid w:val="00D77BAD"/>
    <w:rsid w:val="00DC0FB3"/>
    <w:rsid w:val="00E34C78"/>
    <w:rsid w:val="00EF2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51723"/>
  <w15:docId w15:val="{615A1E6E-FC3C-CB43-A2AA-742A2BAA6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22</Pages>
  <Words>7273</Words>
  <Characters>41460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2024-08-18T19:41:00Z</dcterms:created>
  <dcterms:modified xsi:type="dcterms:W3CDTF">2024-08-18T19:49:00Z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